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53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855"/>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项目名称：盐城市大丰区老年人意外伤害保险项目</w:t>
      </w:r>
      <w:r/>
    </w:p>
    <w:p>
      <w:pPr>
        <w:ind w:left="0" w:right="0" w:firstLine="6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项目编号：JSZC-320904-JSJY-G2025-0069 </w:t>
      </w: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8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（二次）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0"/>
          <w:sz w:val="32"/>
        </w:rPr>
        <w:t xml:space="preserve">招 标 人</w:t>
      </w:r>
      <w:r>
        <w:rPr>
          <w:rFonts w:ascii="SimSun" w:hAnsi="SimSun" w:eastAsia="SimSun" w:cs="SimSun"/>
          <w:color w:val="000000"/>
          <w:sz w:val="32"/>
        </w:rPr>
        <w:t xml:space="preserve">：</w:t>
      </w:r>
      <w:r>
        <w:rPr>
          <w:rFonts w:ascii="SimSun" w:hAnsi="SimSun" w:eastAsia="SimSun" w:cs="SimSun"/>
          <w:color w:val="000000"/>
          <w:sz w:val="32"/>
          <w:u w:val="single"/>
        </w:rPr>
        <w:t xml:space="preserve">盐城市大丰区民政局</w:t>
      </w:r>
      <w:r/>
    </w:p>
    <w:p>
      <w:pPr>
        <w:ind w:left="0"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江苏建友兴业工程项目管理有限公司</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2025年12月</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盐城市大丰区老年人意外伤害保险项目JSZC-320904-JSJY-G2025-0069招标项目的潜在投标人应在“苏采云”系统内免费下载（投标人必须在苏采云系统中获取采购文件，方能参与政府采购项目）获取招标文件，并于2026-1-19 09：00（北京时间）前递交投标文件。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JSZC-320904-JSJY-G2025-0069</w:t>
      </w: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盐城市大丰区老年人意外伤害保险项目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u w:val="single"/>
        </w:rPr>
        <w:t xml:space="preserve">178.00万元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00"/>
          <w:sz w:val="24"/>
          <w:u w:val="single"/>
        </w:rPr>
        <w:t xml:space="preserve">本项目保费采用固定价50元/人/年，其价格不列为评审因素。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盐城市大丰区老年人意外伤害保险项目，参保对象为具有盐城市大丰区户籍的60周岁及以上的低保、分散特困及80周岁（含）以上老年人群购买老年人意外伤害险，参保人数约35600人，采购人数最终以核对的实际人数为准。本项目投标人对保额进行承诺，承诺内容不得低于招标需求规定的标准，保费50元/人/年固定价。具体内容详见采购文件第四章项目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一年；本项目保险期限以保险单载明的起讫时间为准；为保障项目的连续性，本项目的保险期限须与上一年度的保险止期接续，在此期间发生的保险事故责任均由中标单位承担。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投标人是经中国保险监督管理委员会批准的的中国境内保险公司，具有保险业务经营许可证和营业执照，具有较强服务能力，具备经营本次招标的保险等相关险种及承保理赔的公司或分公司（或中心支公司）。</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自招标文件公告发布之日起5个工作日</w:t>
      </w:r>
      <w:r>
        <w:rPr>
          <w:rFonts w:ascii="SimSun" w:hAnsi="SimSun" w:eastAsia="SimSun" w:cs="SimSun"/>
          <w:color w:val="000000"/>
          <w:sz w:val="24"/>
        </w:rPr>
        <w:t xml:space="preserve">。</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2026-1-19  09:00 （北京时间）。</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潜在供应商访问电子招标响应交易平台的网络地址和方法：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w:t>
      </w:r>
      <w:r>
        <w:rPr>
          <w:rFonts w:ascii="FangSong" w:hAnsi="FangSong" w:eastAsia="FangSong" w:cs="FangSong"/>
          <w:color w:val="000000"/>
          <w:sz w:val="21"/>
        </w:rPr>
        <w:t xml:space="preserve">（http://jszfcg.jsczt.cn/jszc/login）</w:t>
      </w:r>
      <w:r>
        <w:rPr>
          <w:rFonts w:ascii="SimSun" w:hAnsi="SimSun" w:eastAsia="SimSun" w:cs="SimSun"/>
          <w:color w:val="000000"/>
          <w:sz w:val="24"/>
        </w:rPr>
        <w:t xml:space="preserve">。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pStyle w:val="636"/>
        <w:ind w:left="0" w:right="0" w:firstLine="482"/>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名称：盐城市大丰区民政局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址：盐城市大丰区飞达东路100号丰华大厦19楼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联系人：吴孟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联系方式：13851019168</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名称：江苏建友兴业工程项目管理有限公司</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地址：盐城市大丰区黄海东路28号（恒达世纪新城18幢4楼）</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联系人：单钰锋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联系方式：18761249196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项目联系人：单钰锋</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话：18761249196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第二章</w:t>
      </w:r>
      <w:r>
        <w:rPr>
          <w:rFonts w:ascii="SimSun" w:hAnsi="SimSun" w:eastAsia="SimSun" w:cs="SimSun"/>
          <w:color w:val="000000"/>
          <w:sz w:val="44"/>
        </w:rPr>
        <w:t xml:space="preserve"> </w:t>
      </w:r>
      <w:r>
        <w:rPr>
          <w:rFonts w:ascii="SimHei" w:hAnsi="SimHei" w:eastAsia="SimHei" w:cs="SimHei"/>
          <w:color w:val="000000"/>
          <w:sz w:val="44"/>
        </w:rPr>
        <w:t xml:space="preserve"> 投标人须知</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投标人应自行承担所有与参加投标有关的费用，无论投标过程中的做法和结果如何，采购人和江苏建友兴业工程项目管理有限公司在任何情况下均无义务和责任承担这些费用。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招标文件的修改将在中国政府采购网、江苏政府采购网、盐城市政府采购网公布，补充文件将作为招标文件的组成部分，并对投标人具有约束力。</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发布的招标文件不一致，请以中国政府采购网”、“江苏政府采购网”、“盐城市政府采购网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 本项目保费采用固定价50元/人/年，其价格不列为评审因素，投标时投标总价统一填写178万元。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友情提醒：供应商投标时，在客户端标书制作时，扣除类型选项请选择 “无”。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注：供应商不得恶意投标、弄虚作假，一经查实，采购人有权取消其本项目中标（投标）资格，并向监督部门反应，将其列入政府采购失信名单。</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17、电子投标文件的递交</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招标人可以按照规定，通过修改招标文件酌情延长投标截止日期，在此情况下，投标人的所有权利和义务以及投标人受制的截止日期均应以延长后新的截止日期为准。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招标人拒绝接收在其规定的投标截止时间后上传的任何投标文件。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招标人将在招标公告中规定的时间和地点组织公开开标。投标人应当按照《操作手册》规定，参加开标活动和在苏采云系统规定的时间内对投标文件进行解密。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21.2开标仪式由招标人或招标代理机构组织。苏采云系统将自动对项目进行开标，并宣布各投标人名称和投标价格。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22.1开标后，招标人将立即组织评标委员会（以下简称评委会）进行评标。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招标人和评标委员会不向未中标的投标人解释未中标原因，也不公布评标过程中的相关细节。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1.投标报价低于采购项目预算50%的，即投标报价&lt;采购项目预算×50%；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2.投标报价低于采购项目最高限价45%的，即投标报价&lt;采购项目最高限价×45%；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投标保额承诺低于招标需求第五项（一）主要保险责任约定的金额标准。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招标代理机构将在中国政府采购网”、“江苏政府采购网”、“盐城市政府采购网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      28.2.2对采购过程提出质疑的，为各采购程序环节结束之日；</w:t>
        <w:br/>
        <w:t xml:space="preserve">      28.2.3对中标或者成交结果提出质疑的，为中标或者成交结果公告期限届满之日。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采购人及招标代理机构只接收以纸质原件形式送达的质疑,采购人和招标代理机构不接受未填写快递运单的快件。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 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32、政府采购线上合同信用融资政策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30"/>
        </w:rPr>
        <w:t xml:space="preserve">33、其他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确需收取履约保证金的，履约保证金的缴纳形式：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履约保证金允许供应商自主选择以支票、汇票、本票、保函等非现金形式缴纳或提交。</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33.3、采购项目需满足的政府采购政策目标和具体支持对象</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33.5政府采购落实“政采贷”政策，依据《关于深入推进政府采购线上合同信用融资工作的通知》（苏财购﹝2021﹞82号）。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33.8政府采购落实《关于进一步加强政府采购需求和履约验收管理的指导意见》（财库﹝2016﹞205号）、《关于做好政府采购支持企业发展有关事项的通知》（苏财购﹝2020﹞52号）。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34、政府采购落实（苏财购﹝2022﹞51号）。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34.1政府采购落实《关于进一步优化政府采购营商环境的通知》（盐财购﹝2023﹞17号）。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34.2政府采购落实《江苏省财政厅关于加强政府绿色采购有关事项的通知》 （苏财购﹝2023﹞65号）。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35、招标代理服务费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35.1.本项目招标代理服务费参照苏招协【</w:t>
      </w:r>
      <w:r>
        <w:rPr>
          <w:rFonts w:ascii="SimSun" w:hAnsi="SimSun" w:eastAsia="SimSun" w:cs="SimSun"/>
          <w:color w:val="000000"/>
          <w:sz w:val="24"/>
          <w:u w:val="none"/>
        </w:rPr>
        <w:t xml:space="preserve">2022</w:t>
      </w:r>
      <w:r>
        <w:rPr>
          <w:rFonts w:ascii="SimSun" w:hAnsi="SimSun" w:eastAsia="SimSun" w:cs="SimSun"/>
          <w:color w:val="000000"/>
          <w:sz w:val="24"/>
        </w:rPr>
        <w:t xml:space="preserve">】</w:t>
      </w:r>
      <w:r>
        <w:rPr>
          <w:rFonts w:ascii="SimSun" w:hAnsi="SimSun" w:eastAsia="SimSun" w:cs="SimSun"/>
          <w:color w:val="000000"/>
          <w:sz w:val="24"/>
          <w:u w:val="none"/>
        </w:rPr>
        <w:t xml:space="preserve">002</w:t>
      </w:r>
      <w:r>
        <w:rPr>
          <w:rFonts w:ascii="SimSun" w:hAnsi="SimSun" w:eastAsia="SimSun" w:cs="SimSun"/>
          <w:color w:val="000000"/>
          <w:sz w:val="24"/>
        </w:rPr>
        <w:t xml:space="preserve">号规定收费标准的</w:t>
      </w:r>
      <w:r>
        <w:rPr>
          <w:rFonts w:ascii="SimSun" w:hAnsi="SimSun" w:eastAsia="SimSun" w:cs="SimSun"/>
          <w:color w:val="000000"/>
          <w:sz w:val="24"/>
          <w:u w:val="none"/>
        </w:rPr>
        <w:t xml:space="preserve">40%</w:t>
      </w:r>
      <w:r>
        <w:rPr>
          <w:rFonts w:ascii="SimSun" w:hAnsi="SimSun" w:eastAsia="SimSun" w:cs="SimSun"/>
          <w:color w:val="000000"/>
          <w:sz w:val="24"/>
        </w:rPr>
        <w:t xml:space="preserve">计取（代理服务费计算基准价按178万元计取）。招标完成后，由中标供应商在领取中标通知书前一次性向代理机构支付，请各投标人投标报价时综合考虑到报价中，不得单列。</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color w:val="000000"/>
          <w:sz w:val="44"/>
        </w:rPr>
        <w:t xml:space="preserve"> 第三章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盐城市大丰区老年人意外伤害保险项目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w:t>
      </w:r>
      <w:r>
        <w:rPr>
          <w:rFonts w:ascii="SimSun" w:hAnsi="SimSun" w:eastAsia="SimSun" w:cs="SimSun"/>
          <w:color w:val="000000"/>
          <w:sz w:val="24"/>
          <w:u w:val="single"/>
        </w:rPr>
        <w:t xml:space="preserve"> 盐城市大丰区民政局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    方：</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甲、乙双方根据盐城市大丰区老年人意外伤害保险项目公开招标的结果，签署本合同。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1.1服务内容：具有大丰区户籍的60周岁及以上的低保、分散特困和80周岁（含）以上老年人群购买老年人意外伤害险，参保人数约35600人，采购人数最终以核对的实际人数为准。</w:t>
      </w:r>
      <w:r/>
    </w:p>
    <w:p>
      <w:pPr>
        <w:ind w:left="0" w:right="0" w:firstLine="420"/>
        <w:jc w:val="both"/>
        <w:spacing w:before="0" w:after="0" w:line="479" w:lineRule="atLeast"/>
        <w:tabs>
          <w:tab w:val="left" w:pos="525" w:leader="none"/>
          <w:tab w:val="left" w:pos="960" w:leader="none"/>
          <w:tab w:val="left" w:pos="1050" w:leader="none"/>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1.2合同履行期限：</w:t>
      </w:r>
      <w:r>
        <w:rPr>
          <w:rFonts w:ascii="SimSun" w:hAnsi="SimSun" w:eastAsia="SimSun" w:cs="SimSun"/>
          <w:b/>
          <w:color w:val="000000"/>
          <w:sz w:val="24"/>
        </w:rPr>
        <w:t xml:space="preserve">一年；本项目保险期限以保险单载明的起讫时间为准；为保障项目的连续性，本项目的保险期限须与上一年度的保险止期接续，在此期间发生的保险事故责任均由中标单位承担。</w:t>
      </w:r>
      <w:r>
        <w:rPr>
          <w:rFonts w:ascii="SimSun" w:hAnsi="SimSun" w:eastAsia="SimSun" w:cs="SimSun"/>
          <w:color w:val="000000"/>
          <w:sz w:val="24"/>
        </w:rPr>
        <w:t xml:space="preserve">上一年度的保险止期为2025年9月1日。</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二、合同组成：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2.1下列文件应作为本合同的组成部分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本保险合同；甲方投保资料；保险单；盐城市大丰区老年人意外伤害保险项目招标文件；投标文件；澄清答疑文件（如有）；中标通知书 ；保险谈判达成的书面合同以及乙方出具的承诺、澄清文书；其他与本保险合同有关的文件。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2.2上述文件互为补充和解释，如有不清或互相矛盾之处，以签署时间在后者为准，如附件内容与合同正本内容有相互冲突之处，均以合同正本为准。但甲乙双方有特别约定的除外。</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三、合同总价、结算金额、支付方式及有关要求：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3.1本项目合同总价为（大写）：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。合同单价为参保人数乘以50元/人/年。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3.2本合同价款包含所有乙方提供合同约定服务的报酬及乙方提供合同中服务所支出的必要费用，甲方在上述合同价款之外不再向乙方支付其他任何费用。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3.3保费支付方式：</w:t>
      </w:r>
      <w:r/>
    </w:p>
    <w:p>
      <w:pPr>
        <w:ind w:left="0" w:right="0" w:firstLine="48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3.3.1预付款支付时间：合同签订后，甲方在收到预付款发票后,预付款支付比例：合同金额的30%。</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3.3.2本项目保险费支付时以甲方提供的实际投保清单为准，由乙方出具正式投保单后一次结清保险费(支付时扣除预付款)。</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四、技术资料：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4.1乙方应按采购文件规定的时间向甲方提供有关技术资料。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4.2没有甲方事先书面同意，乙方不得将由甲方提供的有关合同或任何合同条文、计划或资料提供给与履行本合同无关的任何其他人。即使向履行本合同有关的人员提供，也应注意保密并限于履行合同的必需范围。</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五、保险方案及特别约定：</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5.1主要保险责任：</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5.1.1.被保险人因意外伤害导致身故：定额给付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5.1.2.被保险人因意外伤害导致伤残：赔偿限额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5.1.3.被保险人因交通事故导致身故：定额给付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5.1.4.被保险人因意外伤害医疗费用（包含门诊和住院）：赔偿限额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5.1.5.被保险人因意外伤害住院：住院津贴元/人/天，共计180天；</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5.1.6.被保险人因意外伤害仅接受狂犬疫苗治疗的；赔偿限额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5.2免赔额：无</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5.3特别约定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5.3.1本保险无等待期，被保险人在保险生效后发生保险责任范围内的事故，保险人按合同约定给予赔付。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关于死亡、伤残、医疗费用等原始凭证复印件的认可保险人同意：死亡、伤残、医疗费用等原始凭证在社会医疗保险机构处理赔偿时已经留档不能分割的，该原始凭证复印件由已赔偿单位盖章，并提供报销凭证，可用于本项目理赔时的依据凭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5.3.4被保险人需要到正规的医疗机构或保险人认可的医疗机构治疗，包括乡镇及以上医疗机构（急诊不受限制）。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5.3.5伤残保险责任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在保险期间内被保险人遭受意外伤害导致伤残时，按照中国保险行业协会发布的人身保险伤残程度评定与保险金给付比例标准给予伤残保险金：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（1）被保险人因同一意外伤害造成两处或两处以上伤残时，保险人根据《评定标准》规定的多处伤残评定原则给付残疾保险金。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5.3.6在保险期间内被保险人因动物抓（咬）伤产生的医疗费用须按主责给予赔付。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5.3.7被保险人因交通事故导致身故须按主责给予赔付。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5.3.8被保险人以民政局认定为准，保险人不得以被保险人的精神和行为障碍导致的意外伤害为由拒绝赔付。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5.3.9乙方需向被保险人提供保单和本项目保险宣传手册。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5.3.10本项目合同履行期限中，被保险人数量增加20%以内的，保费不调整，超过部分按照乙方中标单价据实调结算。</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6.1签订合同前，乙方交纳人民币（中标价的10%）元作为本合同的履约保证金。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备注：采购人应当对AA评级及以上政府采购供应商（需提供信用管理部门备案的第三方信用报告）免收履约保证金。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6.2履约保证金的缴纳形式：</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6.2.2如以履约保函（保险）形式缴纳履约保证金，供应商可通过政府采购电子履约保函（保险）平台（www.jsdzbh.com）在线申请履约保函（保险）。</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6.2履约保证金的退还：</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6.2.1方式：现金形式缴纳的，无息退还至乙方缴纳履约保证金的账户。保函形式的，在保函有效期届满后自行失效。</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6.2.2时间：项目服务期满后30日内。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6.2.3条件：乙方已按合同要求全部履约完成且双方无未决争议。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七、税费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7.1本合同执行中相关的一切税费均由乙方负担。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八、服务条款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8.1服务承诺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8.1.1承保服务工作细致、明确。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8.1.2盐城市大丰区的服务网点均有专人服务，须安排专人收取理赔材料；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8.1.3建立24小时服务热线，明确赶赴事故现场时效、理赔程序、具体赔款时限清楚。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8.1.4承保人按月汇总承保及理赔数据，于次月5日前向甲方递交相关承保及理赔数据月报，并于保险年度结束后10日内递交承保及理赔数据年报。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8.1.5承保人在保险期限内实施项目相关活动，包括但不限于风险防范、宣传及培训、宣传资料的印制等。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8.1.6赔偿处理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（1）基本原则：乙方不得以任何理由推卸、拖延和拒绝被保险人索赔要求，除非有合理和足够的证据证明，否则其行为构成违约并须承担违约责任；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（2）一旦接到被保险人通知，乙方代表应尽早赶赴事故现场开始初步调查并提出止损建议，被保险人应予以配合；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（3）被保险人应尽可能为乙方、公估人调查和取证工作保留事故现场；对确因运营需要而无法留待乙方/公估人查勘的事故现场，被保险人应尽可能留下照片、录像、文字记录供乙方审核之用；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（4）涉及有责任的第三方事故时，被保险人不能在获得乙方书面同意以前放弃向其追索的权利；</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（5）乙方收集齐理赔材料后，应在10个工作日内完成赔付工作；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8.1.7关于保险合同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合同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（2）乙方对保险条款进行解释时，只是合同一方的理解，对争议或歧义的裁决应按保险法规定做出有利于被保险人的解释，若仍有争议则以法院裁决为准；但本条约定并不排斥双方平等协商解决争议的原则。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8.1.8次招标活动依照中华人民共和国相关法律法规进行。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8.1.9其他服务要求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理赔数据必备要素（包括不限于）：户籍所属区县、报案时间、护理机构（或户籍地址）、供养类型、联系人、联系方式、出险人、身份证号、出险原因、出险时间、赔款所属月、赔付金额、赔付时间。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九、检验和验收：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9.1合同履行期间、合同期满或履行结束后，甲方有权邀请相关专业机构组成验收小组对乙方履约情况进行验收，内容包括但不限于：本合同履行情况、理赔时限情况、服务质量情况等，乙方须积极配合。</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10.1乙方未履行责任或违反合同约定的，甲方均可追究乙方的违约责任，并有权扣除部分或全部履约保证金，情节严重的解除合同，并报相关部门依法追究其责任。</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十一、不可抗力事件处理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11.1在合同有效期内，任何一方因不可抗力事件导致不能履行合同，则合同履行期可延长，其延长期与不可抗力影响期相同。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11.2不可抗力事件发生后，应立即通知对方，并寄送有关权威机构出具的证明。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11.3不可抗力事件延续120天以上，双方应通过友好协商，确定是否继续履行合同。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十二、诉讼</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12.1双方在执行合同中所发生的一切争议，应通过协商解决。如协商不成，可向合同签订地法院起诉，合同签订地在此约定为盐城市大丰区。</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十三、合同生效及其它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13.1合同经双方法定代表人或授权委托代表人签字并加盖单位公章后生效。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13.2本合同未尽事宜，遵照《中华人民共和国民法典》有关条文执行。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rPr>
          <w:rFonts w:ascii="SimSun" w:hAnsi="SimSun" w:eastAsia="SimSun" w:cs="SimSun"/>
          <w:b/>
          <w:color w:val="000000"/>
          <w:sz w:val="24"/>
        </w:rPr>
        <w:t xml:space="preserve">本合同一式陆份，具有同等法律效力，甲方叁份、乙方叁份。</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（盖章）                       乙方：（盖章）</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或授权代表（签字或盖章）：            或授权代表（签字或盖章）：</w:t>
      </w:r>
      <w:r/>
    </w:p>
    <w:p>
      <w:pPr>
        <w:ind w:left="0" w:right="0" w:firstLine="42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30"/>
        </w:rPr>
        <w:t xml:space="preserve">政府采购合同履约验收书（参考格式）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Calibri" w:hAnsi="Calibri" w:eastAsia="Calibri" w:cs="Calibri"/>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6"/>
        <w:gridCol w:w="2517"/>
        <w:gridCol w:w="1472"/>
        <w:gridCol w:w="3241"/>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bl>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一、项目属性:服务类项目。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二、采购标的对应的中小企业划分标准所属行业一览表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3075"/>
        <w:gridCol w:w="501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盐城市大丰区老年人意外伤害保险项目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三、被保险人</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参保对象为具有大丰区户籍的60周岁及以上的低保、分散特困和80周岁（含）以上老年人群购买老年人意外伤害险，参保人数约35600人，采购人数最终以核对的实际人数为准。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二、筹资标准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本次采购的盐城市大丰区老年人意外伤害保险项目，保费为50元/人/年。</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三、保险险种名称及条款报备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（一）本项目保险条款名称以保险人向国家金融监管总局报备的条款名称为准。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（二）投保险种：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（1）人身意外伤害保险；</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（2）在国家金融监管总局报备的与本项目相关的其他险种。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四、保险期限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本项目保险期限以保险单载明的起讫时间为准；为保障项目的连续性，本项目的保险期限须与上一年度的保险止期接续，在此期间发生的保险事故责任均由中标单位承担。上一年度的保险止期为2025年9月1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五、保险方案及特别约定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（一）主要保险责任</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5.1.1.被保险人因意外伤害导致身故：定额给付</w:t>
      </w:r>
      <w:r>
        <w:rPr>
          <w:rFonts w:ascii="SimSun" w:hAnsi="SimSun" w:eastAsia="SimSun" w:cs="SimSun"/>
          <w:color w:val="000000"/>
          <w:sz w:val="24"/>
          <w:u w:val="single"/>
        </w:rPr>
        <w:t xml:space="preserve">8000</w:t>
      </w:r>
      <w:r>
        <w:rPr>
          <w:rFonts w:ascii="SimSun" w:hAnsi="SimSun" w:eastAsia="SimSun" w:cs="SimSun"/>
          <w:color w:val="000000"/>
          <w:sz w:val="24"/>
        </w:rPr>
        <w:t xml:space="preserve">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5.1.2.被保险人因意外伤害导致伤残：赔偿限额</w:t>
      </w:r>
      <w:r>
        <w:rPr>
          <w:rFonts w:ascii="SimSun" w:hAnsi="SimSun" w:eastAsia="SimSun" w:cs="SimSun"/>
          <w:color w:val="000000"/>
          <w:sz w:val="24"/>
          <w:u w:val="single"/>
        </w:rPr>
        <w:t xml:space="preserve">8000</w:t>
      </w:r>
      <w:r>
        <w:rPr>
          <w:rFonts w:ascii="SimSun" w:hAnsi="SimSun" w:eastAsia="SimSun" w:cs="SimSun"/>
          <w:color w:val="000000"/>
          <w:sz w:val="24"/>
        </w:rPr>
        <w:t xml:space="preserve">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5.1.3.被保险人因交通事故导致身故：定额给付</w:t>
      </w:r>
      <w:r>
        <w:rPr>
          <w:rFonts w:ascii="SimSun" w:hAnsi="SimSun" w:eastAsia="SimSun" w:cs="SimSun"/>
          <w:color w:val="000000"/>
          <w:sz w:val="24"/>
          <w:u w:val="single"/>
        </w:rPr>
        <w:t xml:space="preserve">10000</w:t>
      </w:r>
      <w:r>
        <w:rPr>
          <w:rFonts w:ascii="SimSun" w:hAnsi="SimSun" w:eastAsia="SimSun" w:cs="SimSun"/>
          <w:color w:val="000000"/>
          <w:sz w:val="24"/>
        </w:rPr>
        <w:t xml:space="preserve">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5.1.4.被保险人因意外伤害医疗费用（包含门诊和住院）：赔偿限额</w:t>
      </w:r>
      <w:r>
        <w:rPr>
          <w:rFonts w:ascii="SimSun" w:hAnsi="SimSun" w:eastAsia="SimSun" w:cs="SimSun"/>
          <w:color w:val="000000"/>
          <w:sz w:val="24"/>
          <w:u w:val="single"/>
        </w:rPr>
        <w:t xml:space="preserve">2500</w:t>
      </w:r>
      <w:r>
        <w:rPr>
          <w:rFonts w:ascii="SimSun" w:hAnsi="SimSun" w:eastAsia="SimSun" w:cs="SimSun"/>
          <w:color w:val="000000"/>
          <w:sz w:val="24"/>
        </w:rPr>
        <w:t xml:space="preserve">元/人；</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5.1.5.被保险人因意外伤害住院：住院津贴</w:t>
      </w:r>
      <w:r>
        <w:rPr>
          <w:rFonts w:ascii="SimSun" w:hAnsi="SimSun" w:eastAsia="SimSun" w:cs="SimSun"/>
          <w:color w:val="000000"/>
          <w:sz w:val="24"/>
          <w:u w:val="single"/>
        </w:rPr>
        <w:t xml:space="preserve">30</w:t>
      </w:r>
      <w:r>
        <w:rPr>
          <w:rFonts w:ascii="SimSun" w:hAnsi="SimSun" w:eastAsia="SimSun" w:cs="SimSun"/>
          <w:color w:val="000000"/>
          <w:sz w:val="24"/>
        </w:rPr>
        <w:t xml:space="preserve">元/人/天，共计180天；</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5.1.6.被保险人因意外伤害仅接受狂犬疫苗治疗的；赔偿限额</w:t>
      </w:r>
      <w:r>
        <w:rPr>
          <w:rFonts w:ascii="SimSun" w:hAnsi="SimSun" w:eastAsia="SimSun" w:cs="SimSun"/>
          <w:color w:val="000000"/>
          <w:sz w:val="24"/>
          <w:u w:val="single"/>
        </w:rPr>
        <w:t xml:space="preserve">300</w:t>
      </w:r>
      <w:r>
        <w:rPr>
          <w:rFonts w:ascii="SimSun" w:hAnsi="SimSun" w:eastAsia="SimSun" w:cs="SimSun"/>
          <w:color w:val="000000"/>
          <w:sz w:val="24"/>
        </w:rPr>
        <w:t xml:space="preserve">元/人。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（二）免赔额：无</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（三）特别约定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1.本保险无等待期，被保险人在保险生效后发生保险责任范围内的事故，保险人按合同约定给予赔付。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2.承保人在保险期限内根据大丰区民政局相关要求进行保险宣传及培训、宣传资料的印制等。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3.关于死亡、伤残、医疗费用等原始凭证复印件的认可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保险人同意：死亡、伤残、医疗费用等原始凭证在社会医疗保险机构处理赔偿时已经留档不能分割的，该原始凭证复印件由已赔偿单位盖章，并提供报销凭证，可用于本项目理赔时的依据凭证。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5.被保险人需要到正规的医疗机构或保险人认可的医疗机构治疗，包括乡镇及以上医疗机构（急诊不受限制）。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6.伤残保险责任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在保险期间内被保险人遭受意外伤害导致伤残时，按照中国保险行业协会发布的人身保险伤残程度评定与保险金给付比例标准给予伤残保险金：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（1）被保险人因同一意外伤害造成两处或两处以上伤残时，保险人根据《评定标准》规定的多处伤残评定原则给付残疾保险金。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7.在保险期间内被保险人因动物抓（咬）伤产生的医疗费用须按主责给予赔付。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8.被保险人因交通事故导致身故须按主责给予赔付。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9.被保险人以民政局认定为准，保险人不得以被保险人的精神和行为障碍导致的意外伤害为由拒绝赔付。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六、服务方案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为使被保险人获得完善的保险服务，中标人同意以下各项补充约定并将其视为未来保险合同的一部分，由保险双方共同遵守。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1.承保服务工作细致、明确。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2.盐城市大丰区的服务网点均有专人服务，须安排专人收取理赔材料。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3.建立24小时服务热线，明确赶赴事故现场时效、理赔程序、具体赔款时限清楚。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4.承保人按月汇总承保及理赔数据，于次月5日前向采购人递交相关承保及理赔数据月报，并于保险年度结束后10日内递交承保及理赔数据年报，承保人必须确保数据的及时性、完整性、真实性、准确性、有效性。</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5.承保人在保险期限内按要求实施项目相关活动，包括但不限于风险防范、宣传及培训、宣传资料的印制等。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6.赔偿处理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（1）基本原则：保险人不得以任何理由推卸、拖延和拒绝被保险人索赔要求，除非有合理和足够的证据证明，否则其行为构成违约并须承担违约责任；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（2）一旦接到被保险人通知，保险人代表应尽早赶赴事故现场开始初步调查并提出止损建议，被保险人应予以配合；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（4）涉及有责任的第三方事故时，被保险人不能在获得保险人书面同意以前放弃向其追索的权利；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（5）对于虽经被保险人/经纪人努力仍无法完成的证据/证明材料提交工作，保险人须予以帮助并不得以此为由推卸、拖延和拒绝履行合同责任；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（6）保险人收集齐理赔材料后，应在10个工作日内完成赔付工作；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（7）对于已受理报案但拒绝赔付的案件须出具拒赔通知书，并按采购人的要求，将未赔付人员明细于次月5日前递交至采购人。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第五章  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1883"/>
        <w:gridCol w:w="767"/>
        <w:gridCol w:w="5332"/>
      </w:tblGrid>
      <w:tr>
        <w:trPr>
          <w:trHeight w:val="559"/>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Arial" w:hAnsi="Arial" w:eastAsia="Arial" w:cs="Arial"/>
                <w:color w:val="000000"/>
                <w:sz w:val="21"/>
              </w:rPr>
              <w:t xml:space="preserve"> </w:t>
            </w: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投标保额承诺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投标保额承诺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根据投标人对下列保额承诺进行评审，若低于下列定额给付或赔偿限额的，按无效标处理。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投标人子项投标保额承诺得分（保留两位小数）</w:t>
            </w:r>
            <w:r>
              <w:rPr>
                <w:rFonts w:ascii="Calibri" w:hAnsi="Calibri" w:eastAsia="Calibri" w:cs="Calibri"/>
                <w:color w:val="000000"/>
                <w:sz w:val="20"/>
              </w:rPr>
              <w:t xml:space="preserve">=</w:t>
            </w:r>
            <w:r>
              <w:rPr>
                <w:rFonts w:ascii="SimSun" w:hAnsi="SimSun" w:eastAsia="SimSun" w:cs="SimSun"/>
                <w:color w:val="000000"/>
                <w:sz w:val="20"/>
              </w:rPr>
              <w:t xml:space="preserve">（子项投标承诺金额</w:t>
            </w:r>
            <w:r>
              <w:rPr>
                <w:rFonts w:ascii="Calibri" w:hAnsi="Calibri" w:eastAsia="Calibri" w:cs="Calibri"/>
                <w:color w:val="000000"/>
                <w:sz w:val="20"/>
              </w:rPr>
              <w:t xml:space="preserve">/</w:t>
            </w:r>
            <w:r>
              <w:rPr>
                <w:rFonts w:ascii="SimSun" w:hAnsi="SimSun" w:eastAsia="SimSun" w:cs="SimSun"/>
                <w:color w:val="000000"/>
                <w:sz w:val="20"/>
              </w:rPr>
              <w:t xml:space="preserve">子项评标基准价）×对应子项的最高分分值。子项评标基准价为有效投标人该子项最高报价。</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投标人投标保额承诺得分（保留两位小数）</w:t>
            </w:r>
            <w:r>
              <w:rPr>
                <w:rFonts w:ascii="Calibri" w:hAnsi="Calibri" w:eastAsia="Calibri" w:cs="Calibri"/>
                <w:color w:val="000000"/>
                <w:sz w:val="20"/>
              </w:rPr>
              <w:t xml:space="preserve">=</w:t>
            </w:r>
            <w:r>
              <w:rPr>
                <w:rFonts w:ascii="SimSun" w:hAnsi="SimSun" w:eastAsia="SimSun" w:cs="SimSun"/>
                <w:color w:val="000000"/>
                <w:sz w:val="20"/>
              </w:rPr>
              <w:t xml:space="preserve">投标人各子项投标保额承诺得分之和。</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1</w:t>
            </w:r>
            <w:r>
              <w:rPr>
                <w:rFonts w:ascii="SimSun" w:hAnsi="SimSun" w:eastAsia="SimSun" w:cs="SimSun"/>
                <w:color w:val="000000"/>
                <w:sz w:val="20"/>
              </w:rPr>
              <w:t xml:space="preserve">、被保险人因意外伤害导致身故：定额给付</w:t>
            </w:r>
            <w:r>
              <w:rPr>
                <w:rFonts w:ascii="Calibri" w:hAnsi="Calibri" w:eastAsia="Calibri" w:cs="Calibri"/>
                <w:color w:val="000000"/>
                <w:sz w:val="20"/>
              </w:rPr>
              <w:t xml:space="preserve"> </w:t>
            </w:r>
            <w:r>
              <w:rPr>
                <w:rFonts w:ascii="SimSun" w:hAnsi="SimSun" w:eastAsia="SimSun" w:cs="SimSun"/>
                <w:color w:val="000000"/>
                <w:sz w:val="20"/>
              </w:rPr>
              <w:t xml:space="preserve">不得低于</w:t>
            </w:r>
            <w:r>
              <w:rPr>
                <w:rFonts w:ascii="Calibri" w:hAnsi="Calibri" w:eastAsia="Calibri" w:cs="Calibri"/>
                <w:color w:val="000000"/>
                <w:sz w:val="20"/>
              </w:rPr>
              <w:t xml:space="preserve">8000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2</w:t>
            </w:r>
            <w:r>
              <w:rPr>
                <w:rFonts w:ascii="SimSun" w:hAnsi="SimSun" w:eastAsia="SimSun" w:cs="SimSun"/>
                <w:color w:val="000000"/>
                <w:sz w:val="20"/>
              </w:rPr>
              <w:t xml:space="preserve">、被保险人因意外伤害导致伤残：赔偿限额不得低于</w:t>
            </w:r>
            <w:r>
              <w:rPr>
                <w:rFonts w:ascii="Calibri" w:hAnsi="Calibri" w:eastAsia="Calibri" w:cs="Calibri"/>
                <w:color w:val="000000"/>
                <w:sz w:val="20"/>
              </w:rPr>
              <w:t xml:space="preserve"> 8000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3</w:t>
            </w:r>
            <w:r>
              <w:rPr>
                <w:rFonts w:ascii="SimSun" w:hAnsi="SimSun" w:eastAsia="SimSun" w:cs="SimSun"/>
                <w:color w:val="000000"/>
                <w:sz w:val="20"/>
              </w:rPr>
              <w:t xml:space="preserve">、被保险人因交通事故导致身故：定额给付不得低于</w:t>
            </w:r>
            <w:r>
              <w:rPr>
                <w:rFonts w:ascii="Calibri" w:hAnsi="Calibri" w:eastAsia="Calibri" w:cs="Calibri"/>
                <w:color w:val="000000"/>
                <w:sz w:val="20"/>
              </w:rPr>
              <w:t xml:space="preserve"> 10000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4</w:t>
            </w:r>
            <w:r>
              <w:rPr>
                <w:rFonts w:ascii="SimSun" w:hAnsi="SimSun" w:eastAsia="SimSun" w:cs="SimSun"/>
                <w:color w:val="000000"/>
                <w:sz w:val="20"/>
              </w:rPr>
              <w:t xml:space="preserve">、被保险人因意外伤害医疗费用（包含门诊和住院）：赔偿限额</w:t>
            </w:r>
            <w:r>
              <w:rPr>
                <w:rFonts w:ascii="Calibri" w:hAnsi="Calibri" w:eastAsia="Calibri" w:cs="Calibri"/>
                <w:color w:val="000000"/>
                <w:sz w:val="20"/>
              </w:rPr>
              <w:t xml:space="preserve"> </w:t>
            </w:r>
            <w:r>
              <w:rPr>
                <w:rFonts w:ascii="SimSun" w:hAnsi="SimSun" w:eastAsia="SimSun" w:cs="SimSun"/>
                <w:color w:val="000000"/>
                <w:sz w:val="20"/>
              </w:rPr>
              <w:t xml:space="preserve">不得低于</w:t>
            </w:r>
            <w:r>
              <w:rPr>
                <w:rFonts w:ascii="Calibri" w:hAnsi="Calibri" w:eastAsia="Calibri" w:cs="Calibri"/>
                <w:color w:val="000000"/>
                <w:sz w:val="20"/>
              </w:rPr>
              <w:t xml:space="preserve">2500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5</w:t>
            </w:r>
            <w:r>
              <w:rPr>
                <w:rFonts w:ascii="SimSun" w:hAnsi="SimSun" w:eastAsia="SimSun" w:cs="SimSun"/>
                <w:color w:val="000000"/>
                <w:sz w:val="20"/>
              </w:rPr>
              <w:t xml:space="preserve">、被保险人因意外伤害住院：住院津贴不得低于</w:t>
            </w:r>
            <w:r>
              <w:rPr>
                <w:rFonts w:ascii="Calibri" w:hAnsi="Calibri" w:eastAsia="Calibri" w:cs="Calibri"/>
                <w:color w:val="000000"/>
                <w:sz w:val="20"/>
              </w:rPr>
              <w:t xml:space="preserve">30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w:t>
            </w:r>
            <w:r>
              <w:rPr>
                <w:rFonts w:ascii="Calibri" w:hAnsi="Calibri" w:eastAsia="Calibri" w:cs="Calibri"/>
                <w:color w:val="000000"/>
                <w:sz w:val="20"/>
              </w:rPr>
              <w:t xml:space="preserve">/</w:t>
            </w:r>
            <w:r>
              <w:rPr>
                <w:rFonts w:ascii="SimSun" w:hAnsi="SimSun" w:eastAsia="SimSun" w:cs="SimSun"/>
                <w:color w:val="000000"/>
                <w:sz w:val="20"/>
              </w:rPr>
              <w:t xml:space="preserve">天，共计</w:t>
            </w:r>
            <w:r>
              <w:rPr>
                <w:rFonts w:ascii="Calibri" w:hAnsi="Calibri" w:eastAsia="Calibri" w:cs="Calibri"/>
                <w:color w:val="000000"/>
                <w:sz w:val="20"/>
              </w:rPr>
              <w:t xml:space="preserve">180</w:t>
            </w:r>
            <w:r>
              <w:rPr>
                <w:rFonts w:ascii="SimSun" w:hAnsi="SimSun" w:eastAsia="SimSun" w:cs="SimSun"/>
                <w:color w:val="000000"/>
                <w:sz w:val="20"/>
              </w:rPr>
              <w:t xml:space="preserve">天，本项最高得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6</w:t>
            </w:r>
            <w:r>
              <w:rPr>
                <w:rFonts w:ascii="SimSun" w:hAnsi="SimSun" w:eastAsia="SimSun" w:cs="SimSun"/>
                <w:color w:val="000000"/>
                <w:sz w:val="20"/>
              </w:rPr>
              <w:t xml:space="preserve">、被保险人因意外伤害仅接受狂犬疫苗治疗的；赔偿限额不得低于</w:t>
            </w:r>
            <w:r>
              <w:rPr>
                <w:rFonts w:ascii="Calibri" w:hAnsi="Calibri" w:eastAsia="Calibri" w:cs="Calibri"/>
                <w:color w:val="000000"/>
                <w:sz w:val="20"/>
              </w:rPr>
              <w:t xml:space="preserve">300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投标人综合实力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投标人自2022年1月1日（以合同签订时间为准）以来，具有的类似项目业绩，每有一项得1分，本项最高得2分。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投标时需提供类似项目业绩合同扫描件，未提供或未按要求提供的不得分。</w:t>
            </w:r>
            <w:r/>
          </w:p>
        </w:tc>
      </w:tr>
      <w:tr>
        <w:trPr>
          <w:trHeight w:val="45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偿付能力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本次参与投标的投标人总公司2024年4个季度平均综合偿付能力由高到低进行排序，排名第一的得3分，排名第二至第四的得2.5分，排名第五至至第七的得2分，排名第八至排名第十的得1分，排名第十一及以上的得0.5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投标时须提供中国保险行业协会网站公开信息披露的偿付能力或投标人总公司管网公布的综合偿付能力网上截图加盖投标人公章。投标单位未提供前述材料的，本项不得分且不参与本评分项综合偿付能力排序。若前述两个网站公布的信息不一致，以中国保险行业协会网站公布的信息为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风险综合评级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根据本次参与投标的投标人总公司2024年4个季度风险综合评级进行评审：</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（1）获得一次AAA级得2.5分；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（2）获得一次AA级得2分；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（3）获得一次A级得1.5分；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（4）获得一次BBB级得1.0分；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（5）获得一次BB级得0.5分；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（6）获得一次B级得0.25分；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（7）获得C级或D级的不予计分。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注：1、本项最高得10分；</w:t>
            </w:r>
            <w:r/>
          </w:p>
          <w:p>
            <w:pPr>
              <w:ind w:left="0" w:right="0" w:firstLine="40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时须提供中国保险行业协会网站公开信息披露的风险综合评级或投标人总公司管网公布的风险综合评级网上截图加盖投标人公章，未提供本项不得分。若前述两个网站公布的信息不一致，以中国保险行业协会网站公布的信息为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理赔时效承诺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针对本项目理赔时效，供应商作出如下承诺：</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理赔资料齐全5个工作日以内（含5个工作日）完成赔付工作的得7分； </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理赔资料齐全5个工作日（不含5个工作日）至7个工作日（含7个工作日）完成赔付工作的得5分； </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理赔资料齐全7个工作日（不含7个工作日）至10个工作日（含10个工作日）完成赔付工作的得3分。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1、投标时需提供投标承诺书（格式自拟）并加盖供应商公章扫描件。</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2、未承诺或承诺不符合要求，本项得0分。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3、承诺期限超过10个工作日的按无效标处理。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上门理赔承诺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投标人承诺上门办理理赔服务且不向被保险人收取费用的得7分，投标时提供承诺书（格式自拟）并加盖供应商公章扫描件。未承诺或承诺不符合要求，本项得0分。</w:t>
            </w:r>
            <w:r/>
          </w:p>
        </w:tc>
      </w:tr>
      <w:tr>
        <w:trPr>
          <w:trHeight w:val="19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项目启动实施方案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根据供应商提供的项目启动实施方案（包括项目实施前准备、推进措施以及阶段性工作安排，管理制度、风险防控和保障措施等）进行综合评审，以上方案内容完整的得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项目组织方案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根据供应商提供的项目组织方案（包括服务人员组织框架、服务人员理赔服务质量考核制度、服务人员安排计划等）进行综合评审，以上方案内容完整的得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宣传服务方案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考察供应商如何做好对老年人及其家人进行保险的宣传，方案包括宣传活动的组织、保险条款讲解方式等，以上内容完整的得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保险增值服务方案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根据采购人提供的招标需求</w:t>
            </w:r>
            <w:r>
              <w:rPr>
                <w:rFonts w:ascii="Calibri" w:hAnsi="Calibri" w:eastAsia="Calibri" w:cs="Calibri"/>
                <w:color w:val="000000"/>
                <w:sz w:val="20"/>
              </w:rPr>
              <w:t xml:space="preserve">,</w:t>
            </w:r>
            <w:r>
              <w:rPr>
                <w:rFonts w:ascii="SimSun" w:hAnsi="SimSun" w:eastAsia="SimSun" w:cs="SimSun"/>
                <w:color w:val="000000"/>
                <w:sz w:val="20"/>
              </w:rPr>
              <w:t xml:space="preserve">投标人如何进行拓展</w:t>
            </w:r>
            <w:r>
              <w:rPr>
                <w:rFonts w:ascii="Calibri" w:hAnsi="Calibri" w:eastAsia="Calibri" w:cs="Calibri"/>
                <w:color w:val="000000"/>
                <w:sz w:val="20"/>
              </w:rPr>
              <w:t xml:space="preserve">,</w:t>
            </w:r>
            <w:r>
              <w:rPr>
                <w:rFonts w:ascii="SimSun" w:hAnsi="SimSun" w:eastAsia="SimSun" w:cs="SimSun"/>
                <w:color w:val="000000"/>
                <w:sz w:val="20"/>
              </w:rPr>
              <w:t xml:space="preserve">提供实质性增值服务，包括保险责任、赔偿额度以及其他相关的内容，以上内容完整的得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根据供应商提供的培训方案（包括理赔流程培训、保险条款解读等）进行综合评审，以上内容完整的得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根据供应商提供的理赔服务方案（包括理赔申请方式、核实理赔资料方式、提高理赔处理效率措施），以上内容完整的得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创新服务方案（特别是在利用互联网、大数据等先进技术对服务质量跟踪管理、待遇享受人员跟踪回访等方面的应用及总体情况等）进行综合评审，以上内容完整的得3.00分，方案内容存在缺陷的得2.00分(缺陷是指不适用于本项目，仅有框架或标题)，不提供或提供不全的得0分。</w:t>
            </w:r>
            <w:r/>
          </w:p>
        </w:tc>
      </w:tr>
      <w:tr>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投标人提交签署并盖章《盐城市大丰区政府招标采购供应商承诺书》原件扫描件的得2分；没有提供的不得分。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b/>
          <w:color w:val="000000"/>
          <w:sz w:val="32"/>
        </w:rPr>
        <w:t xml:space="preserve">投标文件目录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w:t>
      </w:r>
      <w:r>
        <w:rPr>
          <w:rFonts w:ascii="SimSun" w:hAnsi="SimSun" w:eastAsia="SimSun" w:cs="SimSun"/>
          <w:i/>
          <w:color w:val="000000"/>
          <w:sz w:val="24"/>
          <w:u w:val="single"/>
        </w:rPr>
        <w:t xml:space="preserve">投标人总公司2024年以来综合偿付能力、风险综合评级一览表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十七、盐城市政府采购事前信用承诺书、盐城市大丰区政府招标采购供应商承诺书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致：盐城市大丰区民政局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九、小微企业声明函（服务）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本公司（联合体）郑重声明，根据《政府采购促进中小企业发展管理办法》(财库[2020]46号)的规定，本公司（联合体）参加采购人组织的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自愿组成联合体，参加盐城市政府采购中心组织的采购编号为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十二、投标保额承诺</w:t>
      </w: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本项目投标保额承诺如下：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1</w:t>
      </w:r>
      <w:r>
        <w:rPr>
          <w:rFonts w:ascii="SimSun" w:hAnsi="SimSun" w:eastAsia="SimSun" w:cs="SimSun"/>
          <w:color w:val="000000"/>
          <w:sz w:val="24"/>
        </w:rPr>
        <w:t xml:space="preserve">、被保险人因意外伤害导致身故：定额给付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2</w:t>
      </w:r>
      <w:r>
        <w:rPr>
          <w:rFonts w:ascii="SimSun" w:hAnsi="SimSun" w:eastAsia="SimSun" w:cs="SimSun"/>
          <w:color w:val="000000"/>
          <w:sz w:val="24"/>
        </w:rPr>
        <w:t xml:space="preserve">、被保险人因意外伤害导致伤残：赔偿限额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3</w:t>
      </w:r>
      <w:r>
        <w:rPr>
          <w:rFonts w:ascii="SimSun" w:hAnsi="SimSun" w:eastAsia="SimSun" w:cs="SimSun"/>
          <w:color w:val="000000"/>
          <w:sz w:val="24"/>
        </w:rPr>
        <w:t xml:space="preserve">、被保险人因交通事故导致身故：定额给付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4</w:t>
      </w:r>
      <w:r>
        <w:rPr>
          <w:rFonts w:ascii="SimSun" w:hAnsi="SimSun" w:eastAsia="SimSun" w:cs="SimSun"/>
          <w:color w:val="000000"/>
          <w:sz w:val="24"/>
        </w:rPr>
        <w:t xml:space="preserve">、被保险人因意外伤害医疗费用（包含门诊和住院）：赔偿限额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5</w:t>
      </w:r>
      <w:r>
        <w:rPr>
          <w:rFonts w:ascii="SimSun" w:hAnsi="SimSun" w:eastAsia="SimSun" w:cs="SimSun"/>
          <w:color w:val="000000"/>
          <w:sz w:val="24"/>
        </w:rPr>
        <w:t xml:space="preserve">、被保险人因意外伤害住院：住院津贴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rPr>
          <w:rFonts w:ascii="Calibri" w:hAnsi="Calibri" w:eastAsia="Calibri" w:cs="Calibri"/>
          <w:color w:val="000000"/>
          <w:sz w:val="24"/>
        </w:rPr>
        <w:t xml:space="preserve">/</w:t>
      </w:r>
      <w:r>
        <w:rPr>
          <w:rFonts w:ascii="SimSun" w:hAnsi="SimSun" w:eastAsia="SimSun" w:cs="SimSun"/>
          <w:color w:val="000000"/>
          <w:sz w:val="24"/>
        </w:rPr>
        <w:t xml:space="preserve">天，共计</w:t>
      </w:r>
      <w:r>
        <w:rPr>
          <w:rFonts w:ascii="Calibri" w:hAnsi="Calibri" w:eastAsia="Calibri" w:cs="Calibri"/>
          <w:color w:val="000000"/>
          <w:sz w:val="24"/>
        </w:rPr>
        <w:t xml:space="preserve">180</w:t>
      </w:r>
      <w:r>
        <w:rPr>
          <w:rFonts w:ascii="SimSun" w:hAnsi="SimSun" w:eastAsia="SimSun" w:cs="SimSun"/>
          <w:color w:val="000000"/>
          <w:sz w:val="24"/>
        </w:rPr>
        <w:t xml:space="preserve">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6</w:t>
      </w:r>
      <w:r>
        <w:rPr>
          <w:rFonts w:ascii="SimSun" w:hAnsi="SimSun" w:eastAsia="SimSun" w:cs="SimSun"/>
          <w:color w:val="000000"/>
          <w:sz w:val="24"/>
        </w:rPr>
        <w:t xml:space="preserve">、被保险人因意外伤害仅接受狂犬疫苗治疗的；赔偿限额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十三、技术要求响应及偏离表</w:t>
      </w:r>
      <w:r>
        <w:rPr>
          <w:rFonts w:ascii="Arial" w:hAnsi="Arial" w:eastAsia="Arial" w:cs="Arial"/>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523"/>
        <w:gridCol w:w="2149"/>
        <w:gridCol w:w="1076"/>
        <w:gridCol w:w="967"/>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rPr>
          <w:rFonts w:ascii="Arial" w:hAnsi="Arial" w:eastAsia="Arial" w:cs="Arial"/>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051"/>
        <w:gridCol w:w="1817"/>
        <w:gridCol w:w="1445"/>
        <w:gridCol w:w="1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十五、投标人总公司</w:t>
      </w:r>
      <w:r>
        <w:rPr>
          <w:rFonts w:ascii="Arial" w:hAnsi="Arial" w:eastAsia="Arial" w:cs="Arial"/>
          <w:color w:val="000000"/>
          <w:sz w:val="24"/>
        </w:rPr>
        <w:t xml:space="preserve">2024</w:t>
      </w:r>
      <w:r>
        <w:rPr>
          <w:rFonts w:ascii="SimSun" w:hAnsi="SimSun" w:eastAsia="SimSun" w:cs="SimSun"/>
          <w:color w:val="000000"/>
          <w:sz w:val="24"/>
        </w:rPr>
        <w:t xml:space="preserve">年以来综合偿付能力、风险综合评级一览表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tblGrid>
      <w:tr>
        <w:trPr>
          <w:trHeight w:val="4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2024年第1季度</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2024年第2季度</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2024年第3季度</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2024年第4季度</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2025年第1季度</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2025年第2季度</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Arial" w:hAnsi="Arial" w:eastAsia="Arial" w:cs="Arial"/>
          <w:color w:val="000000"/>
          <w:sz w:val="24"/>
        </w:rPr>
        <w:t xml:space="preserve">CA</w:t>
      </w:r>
      <w:r>
        <w:rPr>
          <w:rFonts w:ascii="SimSun" w:hAnsi="SimSun" w:eastAsia="SimSun" w:cs="SimSun"/>
          <w:color w:val="000000"/>
          <w:sz w:val="24"/>
        </w:rPr>
        <w:t xml:space="preserve">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Arial" w:hAnsi="Arial" w:eastAsia="Arial" w:cs="Arial"/>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Arial" w:hAnsi="Arial" w:eastAsia="Arial" w:cs="Arial"/>
                <w:color w:val="000000"/>
                <w:sz w:val="24"/>
              </w:rPr>
              <w:t xml:space="preserve"> 1780000.00 </w:t>
            </w:r>
            <w:r>
              <w:rPr>
                <w:rFonts w:ascii="SimSun" w:hAnsi="SimSun" w:eastAsia="SimSun" w:cs="SimSun"/>
                <w:color w:val="000000"/>
                <w:sz w:val="24"/>
              </w:rPr>
              <w:t xml:space="preserve">（人民币：元）</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日期：</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SimSun" w:hAnsi="SimSun" w:eastAsia="SimSun" w:cs="SimSun"/>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rPr>
        <w:t xml:space="preserve">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友情提醒：本项目保费采用固定价50元/人/年，其价格不列为评审因素，投标时投标总价统一填写178万元。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友情提醒：供应商投标时，在客户端标书制作时，扣除类型选项请选择 “无”。</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十七、技术方案等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十八、</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单位名称（盖章）：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日期：    </w:t>
      </w:r>
      <w:r/>
    </w:p>
    <w:p>
      <w:pPr>
        <w:ind w:left="0" w:right="0" w:firstLine="482"/>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单钰锋</cp:lastModifiedBy>
  <cp:revision>2</cp:revision>
  <dcterms:created xsi:type="dcterms:W3CDTF">2025-12-26T00:23:32Z</dcterms:created>
  <dcterms:modified xsi:type="dcterms:W3CDTF">2025-12-26T02:39:32Z</dcterms:modified>
</cp:coreProperties>
</file>